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C31A63">
        <w:rPr>
          <w:rFonts w:ascii="Arial" w:hAnsi="Arial" w:cs="Arial"/>
          <w:sz w:val="18"/>
          <w:szCs w:val="18"/>
        </w:rPr>
        <w:t>Osnovna škola Marka marulića</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C31A63">
        <w:rPr>
          <w:rFonts w:ascii="Arial" w:hAnsi="Arial" w:cs="Arial"/>
          <w:sz w:val="18"/>
          <w:szCs w:val="18"/>
        </w:rPr>
        <w:t>Vladimira Nazora 4, Sinj</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C31A63">
        <w:rPr>
          <w:rFonts w:ascii="Arial" w:hAnsi="Arial" w:cs="Arial"/>
          <w:sz w:val="18"/>
          <w:szCs w:val="18"/>
        </w:rPr>
        <w:t xml:space="preserve"> 75644060830</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252115">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252115">
        <w:rPr>
          <w:rFonts w:ascii="Arial" w:hAnsi="Arial" w:cs="Arial"/>
          <w:sz w:val="18"/>
          <w:szCs w:val="18"/>
        </w:rPr>
        <w:t>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w:t>
      </w:r>
      <w:r w:rsidR="00252115">
        <w:rPr>
          <w:rFonts w:ascii="Arial" w:hAnsi="Arial" w:cs="Arial"/>
          <w:sz w:val="18"/>
          <w:szCs w:val="18"/>
        </w:rPr>
        <w:t>roj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2076"/>
        <w:gridCol w:w="2085"/>
        <w:gridCol w:w="1336"/>
        <w:gridCol w:w="1336"/>
        <w:gridCol w:w="1337"/>
        <w:gridCol w:w="1337"/>
        <w:gridCol w:w="1397"/>
        <w:gridCol w:w="1340"/>
        <w:gridCol w:w="1340"/>
        <w:gridCol w:w="134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1D2F85" w:rsidRPr="006D78C8" w:rsidTr="000D3676">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6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68"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2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28"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2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28"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47"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2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2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2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1D2F85" w:rsidRPr="006D78C8" w:rsidTr="000D3676">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6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6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2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2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2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2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4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2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2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28"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1D2F85" w:rsidRPr="006D78C8" w:rsidTr="000D3676">
        <w:trPr>
          <w:trHeight w:val="245"/>
        </w:trPr>
        <w:tc>
          <w:tcPr>
            <w:tcW w:w="220" w:type="pct"/>
            <w:vAlign w:val="center"/>
          </w:tcPr>
          <w:p w:rsidR="005B3E46" w:rsidRPr="004D717A" w:rsidRDefault="004D717A" w:rsidP="00EA05F2">
            <w:pPr>
              <w:jc w:val="center"/>
              <w:rPr>
                <w:rFonts w:ascii="Arial" w:hAnsi="Arial" w:cs="Arial"/>
                <w:i/>
                <w:sz w:val="18"/>
                <w:szCs w:val="18"/>
              </w:rPr>
            </w:pPr>
            <w:r w:rsidRPr="004D717A">
              <w:rPr>
                <w:rFonts w:ascii="Arial" w:hAnsi="Arial" w:cs="Arial"/>
                <w:i/>
                <w:sz w:val="18"/>
                <w:szCs w:val="18"/>
              </w:rPr>
              <w:t>1</w:t>
            </w:r>
          </w:p>
        </w:tc>
        <w:tc>
          <w:tcPr>
            <w:tcW w:w="665"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Stručni nazor i koordinator zaštite na radu II za radove na energetskoj obnovi OŠ Marka Marulića, Sinj</w:t>
            </w:r>
          </w:p>
        </w:tc>
        <w:tc>
          <w:tcPr>
            <w:tcW w:w="66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1/2018.</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Postupak jednostavne nabave</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110.000,00 kn           ( bez PDV-a)</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27. 07.2018.</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5 mjeseci</w:t>
            </w:r>
          </w:p>
        </w:tc>
        <w:tc>
          <w:tcPr>
            <w:tcW w:w="447" w:type="pct"/>
            <w:vAlign w:val="center"/>
          </w:tcPr>
          <w:p w:rsidR="002E75E5" w:rsidRDefault="002E75E5" w:rsidP="002E75E5">
            <w:pPr>
              <w:jc w:val="center"/>
              <w:rPr>
                <w:rFonts w:ascii="Arial" w:hAnsi="Arial" w:cs="Arial"/>
                <w:sz w:val="18"/>
                <w:szCs w:val="18"/>
              </w:rPr>
            </w:pPr>
            <w:r>
              <w:rPr>
                <w:rFonts w:ascii="Arial" w:hAnsi="Arial" w:cs="Arial"/>
                <w:sz w:val="18"/>
                <w:szCs w:val="18"/>
              </w:rPr>
              <w:t xml:space="preserve">Ured ovlaštenog inženjera građevinarstva </w:t>
            </w:r>
            <w:proofErr w:type="spellStart"/>
            <w:r>
              <w:rPr>
                <w:rFonts w:ascii="Arial" w:hAnsi="Arial" w:cs="Arial"/>
                <w:sz w:val="18"/>
                <w:szCs w:val="18"/>
              </w:rPr>
              <w:t>Tonći</w:t>
            </w:r>
            <w:proofErr w:type="spellEnd"/>
            <w:r>
              <w:rPr>
                <w:rFonts w:ascii="Arial" w:hAnsi="Arial" w:cs="Arial"/>
                <w:sz w:val="18"/>
                <w:szCs w:val="18"/>
              </w:rPr>
              <w:t xml:space="preserve"> Marić </w:t>
            </w:r>
            <w:proofErr w:type="spellStart"/>
            <w:r>
              <w:rPr>
                <w:rFonts w:ascii="Arial" w:hAnsi="Arial" w:cs="Arial"/>
                <w:sz w:val="18"/>
                <w:szCs w:val="18"/>
              </w:rPr>
              <w:t>Drvoličanin</w:t>
            </w:r>
            <w:proofErr w:type="spellEnd"/>
          </w:p>
          <w:p w:rsidR="002E75E5" w:rsidRDefault="002E75E5" w:rsidP="002E75E5">
            <w:pPr>
              <w:jc w:val="center"/>
              <w:rPr>
                <w:rFonts w:ascii="Arial" w:hAnsi="Arial" w:cs="Arial"/>
                <w:sz w:val="18"/>
                <w:szCs w:val="18"/>
              </w:rPr>
            </w:pPr>
            <w:proofErr w:type="spellStart"/>
            <w:r>
              <w:rPr>
                <w:rFonts w:ascii="Arial" w:hAnsi="Arial" w:cs="Arial"/>
                <w:sz w:val="18"/>
                <w:szCs w:val="18"/>
              </w:rPr>
              <w:t>Brnaze</w:t>
            </w:r>
            <w:proofErr w:type="spellEnd"/>
            <w:r>
              <w:rPr>
                <w:rFonts w:ascii="Arial" w:hAnsi="Arial" w:cs="Arial"/>
                <w:sz w:val="18"/>
                <w:szCs w:val="18"/>
              </w:rPr>
              <w:t xml:space="preserve"> 410</w:t>
            </w:r>
          </w:p>
          <w:p w:rsidR="006561D2" w:rsidRPr="006D78C8" w:rsidRDefault="002E75E5" w:rsidP="002E75E5">
            <w:pPr>
              <w:jc w:val="center"/>
              <w:rPr>
                <w:rFonts w:ascii="Arial" w:hAnsi="Arial" w:cs="Arial"/>
                <w:sz w:val="18"/>
                <w:szCs w:val="18"/>
              </w:rPr>
            </w:pPr>
            <w:r>
              <w:rPr>
                <w:rFonts w:ascii="Arial" w:hAnsi="Arial" w:cs="Arial"/>
                <w:sz w:val="18"/>
                <w:szCs w:val="18"/>
              </w:rPr>
              <w:t>21 230 Sinj</w:t>
            </w:r>
          </w:p>
        </w:tc>
        <w:tc>
          <w:tcPr>
            <w:tcW w:w="429"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30. ožujka 2019.</w:t>
            </w:r>
          </w:p>
        </w:tc>
        <w:tc>
          <w:tcPr>
            <w:tcW w:w="429"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110.00,00 kn bez PDV-a</w:t>
            </w:r>
          </w:p>
        </w:tc>
        <w:tc>
          <w:tcPr>
            <w:tcW w:w="428" w:type="pct"/>
            <w:vAlign w:val="center"/>
          </w:tcPr>
          <w:p w:rsidR="005B3E46" w:rsidRPr="006D78C8" w:rsidRDefault="005B3E46" w:rsidP="00EA05F2">
            <w:pPr>
              <w:jc w:val="center"/>
              <w:rPr>
                <w:rFonts w:ascii="Arial" w:hAnsi="Arial" w:cs="Arial"/>
                <w:sz w:val="18"/>
                <w:szCs w:val="18"/>
              </w:rPr>
            </w:pPr>
          </w:p>
        </w:tc>
      </w:tr>
      <w:tr w:rsidR="001D2F85" w:rsidRPr="006D78C8" w:rsidTr="000D3676">
        <w:trPr>
          <w:trHeight w:val="245"/>
        </w:trPr>
        <w:tc>
          <w:tcPr>
            <w:tcW w:w="220" w:type="pct"/>
            <w:vAlign w:val="center"/>
          </w:tcPr>
          <w:p w:rsidR="00F43D68" w:rsidRPr="004D717A" w:rsidRDefault="002E75E5" w:rsidP="00EA05F2">
            <w:pPr>
              <w:jc w:val="center"/>
              <w:rPr>
                <w:rFonts w:ascii="Arial" w:hAnsi="Arial" w:cs="Arial"/>
                <w:i/>
                <w:sz w:val="18"/>
                <w:szCs w:val="18"/>
              </w:rPr>
            </w:pPr>
            <w:r>
              <w:rPr>
                <w:rFonts w:ascii="Arial" w:hAnsi="Arial" w:cs="Arial"/>
                <w:i/>
                <w:sz w:val="18"/>
                <w:szCs w:val="18"/>
              </w:rPr>
              <w:t>2</w:t>
            </w:r>
          </w:p>
        </w:tc>
        <w:tc>
          <w:tcPr>
            <w:tcW w:w="665" w:type="pct"/>
            <w:vAlign w:val="center"/>
          </w:tcPr>
          <w:p w:rsidR="00F43D68" w:rsidRDefault="002E75E5" w:rsidP="00EA05F2">
            <w:pPr>
              <w:jc w:val="center"/>
              <w:rPr>
                <w:rFonts w:ascii="Arial" w:hAnsi="Arial" w:cs="Arial"/>
                <w:sz w:val="18"/>
                <w:szCs w:val="18"/>
              </w:rPr>
            </w:pPr>
            <w:r>
              <w:rPr>
                <w:rFonts w:ascii="Arial" w:hAnsi="Arial" w:cs="Arial"/>
                <w:sz w:val="18"/>
                <w:szCs w:val="18"/>
              </w:rPr>
              <w:t>Projektantski nadzor za radove na energetskoj obnovi OŠ Marka Marulića, Sinj</w:t>
            </w:r>
          </w:p>
        </w:tc>
        <w:tc>
          <w:tcPr>
            <w:tcW w:w="668" w:type="pct"/>
            <w:vAlign w:val="center"/>
          </w:tcPr>
          <w:p w:rsidR="00F43D68" w:rsidRDefault="002E75E5" w:rsidP="00EA05F2">
            <w:pPr>
              <w:jc w:val="center"/>
              <w:rPr>
                <w:rFonts w:ascii="Arial" w:hAnsi="Arial" w:cs="Arial"/>
                <w:sz w:val="18"/>
                <w:szCs w:val="18"/>
              </w:rPr>
            </w:pPr>
            <w:r>
              <w:rPr>
                <w:rFonts w:ascii="Arial" w:hAnsi="Arial" w:cs="Arial"/>
                <w:sz w:val="18"/>
                <w:szCs w:val="18"/>
              </w:rPr>
              <w:t>2/2018.</w:t>
            </w:r>
            <w:r>
              <w:rPr>
                <w:rFonts w:ascii="Arial" w:hAnsi="Arial" w:cs="Arial"/>
                <w:sz w:val="18"/>
                <w:szCs w:val="18"/>
              </w:rPr>
              <w:t>a</w:t>
            </w:r>
          </w:p>
        </w:tc>
        <w:tc>
          <w:tcPr>
            <w:tcW w:w="428" w:type="pct"/>
            <w:vAlign w:val="center"/>
          </w:tcPr>
          <w:p w:rsidR="00F43D68" w:rsidRDefault="002E75E5" w:rsidP="00EA05F2">
            <w:pPr>
              <w:jc w:val="center"/>
              <w:rPr>
                <w:rFonts w:ascii="Arial" w:hAnsi="Arial" w:cs="Arial"/>
                <w:sz w:val="18"/>
                <w:szCs w:val="18"/>
              </w:rPr>
            </w:pPr>
            <w:r>
              <w:rPr>
                <w:rFonts w:ascii="Arial" w:hAnsi="Arial" w:cs="Arial"/>
                <w:sz w:val="18"/>
                <w:szCs w:val="18"/>
              </w:rPr>
              <w:t>Postupak jednostavne nabave</w:t>
            </w:r>
          </w:p>
        </w:tc>
        <w:tc>
          <w:tcPr>
            <w:tcW w:w="428" w:type="pct"/>
            <w:vAlign w:val="center"/>
          </w:tcPr>
          <w:p w:rsidR="00F43D68" w:rsidRDefault="002E75E5" w:rsidP="00EA05F2">
            <w:pPr>
              <w:jc w:val="center"/>
              <w:rPr>
                <w:rFonts w:ascii="Arial" w:hAnsi="Arial" w:cs="Arial"/>
                <w:sz w:val="18"/>
                <w:szCs w:val="18"/>
              </w:rPr>
            </w:pPr>
            <w:r>
              <w:rPr>
                <w:rFonts w:ascii="Arial" w:hAnsi="Arial" w:cs="Arial"/>
                <w:sz w:val="18"/>
                <w:szCs w:val="18"/>
              </w:rPr>
              <w:t>41.894,00  (bez PDV-a)</w:t>
            </w:r>
          </w:p>
        </w:tc>
        <w:tc>
          <w:tcPr>
            <w:tcW w:w="428" w:type="pct"/>
            <w:vAlign w:val="center"/>
          </w:tcPr>
          <w:p w:rsidR="00F43D68" w:rsidRDefault="002E75E5" w:rsidP="00EA05F2">
            <w:pPr>
              <w:jc w:val="center"/>
              <w:rPr>
                <w:rFonts w:ascii="Arial" w:hAnsi="Arial" w:cs="Arial"/>
                <w:sz w:val="18"/>
                <w:szCs w:val="18"/>
              </w:rPr>
            </w:pPr>
            <w:r>
              <w:rPr>
                <w:rFonts w:ascii="Arial" w:hAnsi="Arial" w:cs="Arial"/>
                <w:sz w:val="18"/>
                <w:szCs w:val="18"/>
              </w:rPr>
              <w:t>27.07.2018.</w:t>
            </w:r>
          </w:p>
        </w:tc>
        <w:tc>
          <w:tcPr>
            <w:tcW w:w="428" w:type="pct"/>
            <w:vAlign w:val="center"/>
          </w:tcPr>
          <w:p w:rsidR="00F43D68" w:rsidRPr="006D78C8" w:rsidRDefault="002E75E5" w:rsidP="00EA05F2">
            <w:pPr>
              <w:jc w:val="center"/>
              <w:rPr>
                <w:rFonts w:ascii="Arial" w:hAnsi="Arial" w:cs="Arial"/>
                <w:sz w:val="18"/>
                <w:szCs w:val="18"/>
              </w:rPr>
            </w:pPr>
            <w:r>
              <w:rPr>
                <w:rFonts w:ascii="Arial" w:hAnsi="Arial" w:cs="Arial"/>
                <w:sz w:val="18"/>
                <w:szCs w:val="18"/>
              </w:rPr>
              <w:t xml:space="preserve">   5 mjeseci</w:t>
            </w:r>
          </w:p>
        </w:tc>
        <w:tc>
          <w:tcPr>
            <w:tcW w:w="447" w:type="pct"/>
            <w:vAlign w:val="center"/>
          </w:tcPr>
          <w:p w:rsidR="002E75E5" w:rsidRDefault="002E75E5" w:rsidP="002E75E5">
            <w:pPr>
              <w:jc w:val="center"/>
              <w:rPr>
                <w:rFonts w:ascii="Arial" w:hAnsi="Arial" w:cs="Arial"/>
                <w:sz w:val="18"/>
                <w:szCs w:val="18"/>
              </w:rPr>
            </w:pPr>
            <w:r>
              <w:rPr>
                <w:rFonts w:ascii="Arial" w:hAnsi="Arial" w:cs="Arial"/>
                <w:sz w:val="18"/>
                <w:szCs w:val="18"/>
              </w:rPr>
              <w:t>VERITAS ESCO d.o.o</w:t>
            </w:r>
          </w:p>
          <w:p w:rsidR="002E75E5" w:rsidRDefault="002E75E5" w:rsidP="002E75E5">
            <w:pPr>
              <w:jc w:val="center"/>
              <w:rPr>
                <w:rFonts w:ascii="Arial" w:hAnsi="Arial" w:cs="Arial"/>
                <w:sz w:val="18"/>
                <w:szCs w:val="18"/>
              </w:rPr>
            </w:pPr>
            <w:proofErr w:type="spellStart"/>
            <w:r>
              <w:rPr>
                <w:rFonts w:ascii="Arial" w:hAnsi="Arial" w:cs="Arial"/>
                <w:sz w:val="18"/>
                <w:szCs w:val="18"/>
              </w:rPr>
              <w:t>Mejaši</w:t>
            </w:r>
            <w:proofErr w:type="spellEnd"/>
            <w:r>
              <w:rPr>
                <w:rFonts w:ascii="Arial" w:hAnsi="Arial" w:cs="Arial"/>
                <w:sz w:val="18"/>
                <w:szCs w:val="18"/>
              </w:rPr>
              <w:t xml:space="preserve"> 2</w:t>
            </w:r>
          </w:p>
          <w:p w:rsidR="00F43D68" w:rsidRDefault="002E75E5" w:rsidP="002E75E5">
            <w:pPr>
              <w:jc w:val="center"/>
              <w:rPr>
                <w:rFonts w:ascii="Arial" w:hAnsi="Arial" w:cs="Arial"/>
                <w:sz w:val="18"/>
                <w:szCs w:val="18"/>
              </w:rPr>
            </w:pPr>
            <w:r>
              <w:rPr>
                <w:rFonts w:ascii="Arial" w:hAnsi="Arial" w:cs="Arial"/>
                <w:sz w:val="18"/>
                <w:szCs w:val="18"/>
              </w:rPr>
              <w:t>21 000 Split</w:t>
            </w:r>
          </w:p>
        </w:tc>
        <w:tc>
          <w:tcPr>
            <w:tcW w:w="429" w:type="pct"/>
            <w:vAlign w:val="center"/>
          </w:tcPr>
          <w:p w:rsidR="00F43D68" w:rsidRDefault="002E75E5" w:rsidP="00EA05F2">
            <w:pPr>
              <w:jc w:val="center"/>
              <w:rPr>
                <w:rFonts w:ascii="Arial" w:hAnsi="Arial" w:cs="Arial"/>
                <w:sz w:val="18"/>
                <w:szCs w:val="18"/>
              </w:rPr>
            </w:pPr>
            <w:r>
              <w:rPr>
                <w:rFonts w:ascii="Arial" w:hAnsi="Arial" w:cs="Arial"/>
                <w:sz w:val="18"/>
                <w:szCs w:val="18"/>
              </w:rPr>
              <w:t>30. ožujka 2019.</w:t>
            </w:r>
          </w:p>
        </w:tc>
        <w:tc>
          <w:tcPr>
            <w:tcW w:w="429" w:type="pct"/>
            <w:vAlign w:val="center"/>
          </w:tcPr>
          <w:p w:rsidR="00F43D68" w:rsidRDefault="002E75E5" w:rsidP="00EA05F2">
            <w:pPr>
              <w:jc w:val="center"/>
              <w:rPr>
                <w:rFonts w:ascii="Arial" w:hAnsi="Arial" w:cs="Arial"/>
                <w:sz w:val="18"/>
                <w:szCs w:val="18"/>
              </w:rPr>
            </w:pPr>
            <w:r>
              <w:rPr>
                <w:rFonts w:ascii="Arial" w:hAnsi="Arial" w:cs="Arial"/>
                <w:sz w:val="18"/>
                <w:szCs w:val="18"/>
              </w:rPr>
              <w:t>41.894,00 kn bez PDV-a</w:t>
            </w:r>
          </w:p>
        </w:tc>
        <w:tc>
          <w:tcPr>
            <w:tcW w:w="428" w:type="pct"/>
            <w:vAlign w:val="center"/>
          </w:tcPr>
          <w:p w:rsidR="00F43D68" w:rsidRPr="006D78C8" w:rsidRDefault="00F43D68" w:rsidP="00EA05F2">
            <w:pPr>
              <w:jc w:val="center"/>
              <w:rPr>
                <w:rFonts w:ascii="Arial" w:hAnsi="Arial" w:cs="Arial"/>
                <w:sz w:val="18"/>
                <w:szCs w:val="18"/>
              </w:rPr>
            </w:pPr>
          </w:p>
        </w:tc>
      </w:tr>
      <w:tr w:rsidR="001D2F85" w:rsidRPr="006D78C8" w:rsidTr="000D3676">
        <w:trPr>
          <w:trHeight w:val="260"/>
        </w:trPr>
        <w:tc>
          <w:tcPr>
            <w:tcW w:w="220" w:type="pct"/>
            <w:vAlign w:val="center"/>
          </w:tcPr>
          <w:p w:rsidR="005B3E46" w:rsidRPr="004D717A" w:rsidRDefault="002E75E5" w:rsidP="00EA05F2">
            <w:pPr>
              <w:jc w:val="center"/>
              <w:rPr>
                <w:rFonts w:ascii="Arial" w:hAnsi="Arial" w:cs="Arial"/>
                <w:i/>
                <w:sz w:val="18"/>
                <w:szCs w:val="18"/>
              </w:rPr>
            </w:pPr>
            <w:r>
              <w:rPr>
                <w:rFonts w:ascii="Arial" w:hAnsi="Arial" w:cs="Arial"/>
                <w:i/>
                <w:sz w:val="18"/>
                <w:szCs w:val="18"/>
              </w:rPr>
              <w:t>3</w:t>
            </w:r>
          </w:p>
        </w:tc>
        <w:tc>
          <w:tcPr>
            <w:tcW w:w="665"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 xml:space="preserve">Opskrba električnom energijom za potrebe </w:t>
            </w:r>
            <w:proofErr w:type="spellStart"/>
            <w:r>
              <w:rPr>
                <w:rFonts w:ascii="Arial" w:hAnsi="Arial" w:cs="Arial"/>
                <w:sz w:val="18"/>
                <w:szCs w:val="18"/>
              </w:rPr>
              <w:t>O.Š</w:t>
            </w:r>
            <w:proofErr w:type="spellEnd"/>
            <w:r>
              <w:rPr>
                <w:rFonts w:ascii="Arial" w:hAnsi="Arial" w:cs="Arial"/>
                <w:sz w:val="18"/>
                <w:szCs w:val="18"/>
              </w:rPr>
              <w:t>. Marka Marulića, Sinj</w:t>
            </w:r>
          </w:p>
        </w:tc>
        <w:tc>
          <w:tcPr>
            <w:tcW w:w="668" w:type="pct"/>
            <w:vAlign w:val="center"/>
          </w:tcPr>
          <w:p w:rsidR="005B3E46" w:rsidRPr="006D78C8" w:rsidRDefault="002E75E5" w:rsidP="002E75E5">
            <w:pPr>
              <w:jc w:val="center"/>
              <w:rPr>
                <w:rFonts w:ascii="Arial" w:hAnsi="Arial" w:cs="Arial"/>
                <w:sz w:val="18"/>
                <w:szCs w:val="18"/>
              </w:rPr>
            </w:pPr>
            <w:r>
              <w:rPr>
                <w:rFonts w:ascii="Arial" w:hAnsi="Arial" w:cs="Arial"/>
                <w:sz w:val="18"/>
                <w:szCs w:val="18"/>
              </w:rPr>
              <w:t>2/2018.</w:t>
            </w:r>
            <w:r>
              <w:rPr>
                <w:rFonts w:ascii="Arial" w:hAnsi="Arial" w:cs="Arial"/>
                <w:sz w:val="18"/>
                <w:szCs w:val="18"/>
              </w:rPr>
              <w:t>b</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Postupak jednostavne nabave</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prema mjesečnoj potrošnji</w:t>
            </w:r>
          </w:p>
        </w:tc>
        <w:tc>
          <w:tcPr>
            <w:tcW w:w="428"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18.12. 2018.</w:t>
            </w:r>
          </w:p>
        </w:tc>
        <w:tc>
          <w:tcPr>
            <w:tcW w:w="428" w:type="pct"/>
            <w:vAlign w:val="center"/>
          </w:tcPr>
          <w:p w:rsidR="005B3E46" w:rsidRPr="006D78C8" w:rsidRDefault="002E75E5" w:rsidP="00B11EC5">
            <w:pPr>
              <w:jc w:val="center"/>
              <w:rPr>
                <w:rFonts w:ascii="Arial" w:hAnsi="Arial" w:cs="Arial"/>
                <w:sz w:val="18"/>
                <w:szCs w:val="18"/>
              </w:rPr>
            </w:pPr>
            <w:r>
              <w:rPr>
                <w:rFonts w:ascii="Arial" w:hAnsi="Arial" w:cs="Arial"/>
                <w:sz w:val="18"/>
                <w:szCs w:val="18"/>
              </w:rPr>
              <w:t>2 godine</w:t>
            </w:r>
          </w:p>
        </w:tc>
        <w:tc>
          <w:tcPr>
            <w:tcW w:w="447" w:type="pct"/>
            <w:vAlign w:val="center"/>
          </w:tcPr>
          <w:p w:rsidR="002E75E5" w:rsidRDefault="002E75E5" w:rsidP="002E75E5">
            <w:pPr>
              <w:jc w:val="center"/>
              <w:rPr>
                <w:rFonts w:ascii="Arial" w:hAnsi="Arial" w:cs="Arial"/>
                <w:sz w:val="18"/>
                <w:szCs w:val="18"/>
              </w:rPr>
            </w:pPr>
            <w:r>
              <w:rPr>
                <w:rFonts w:ascii="Arial" w:hAnsi="Arial" w:cs="Arial"/>
                <w:sz w:val="18"/>
                <w:szCs w:val="18"/>
              </w:rPr>
              <w:t>RWE-ENERGIJA d.o.o.</w:t>
            </w:r>
          </w:p>
          <w:p w:rsidR="002E75E5" w:rsidRDefault="002E75E5" w:rsidP="002E75E5">
            <w:pPr>
              <w:jc w:val="center"/>
              <w:rPr>
                <w:rFonts w:ascii="Arial" w:hAnsi="Arial" w:cs="Arial"/>
                <w:sz w:val="18"/>
                <w:szCs w:val="18"/>
              </w:rPr>
            </w:pPr>
            <w:proofErr w:type="spellStart"/>
            <w:r>
              <w:rPr>
                <w:rFonts w:ascii="Arial" w:hAnsi="Arial" w:cs="Arial"/>
                <w:sz w:val="18"/>
                <w:szCs w:val="18"/>
              </w:rPr>
              <w:t>Capraška</w:t>
            </w:r>
            <w:proofErr w:type="spellEnd"/>
            <w:r>
              <w:rPr>
                <w:rFonts w:ascii="Arial" w:hAnsi="Arial" w:cs="Arial"/>
                <w:sz w:val="18"/>
                <w:szCs w:val="18"/>
              </w:rPr>
              <w:t xml:space="preserve"> ulica 6</w:t>
            </w:r>
          </w:p>
          <w:p w:rsidR="00B11EC5" w:rsidRPr="006D78C8" w:rsidRDefault="002E75E5" w:rsidP="002E75E5">
            <w:pPr>
              <w:jc w:val="center"/>
              <w:rPr>
                <w:rFonts w:ascii="Arial" w:hAnsi="Arial" w:cs="Arial"/>
                <w:sz w:val="18"/>
                <w:szCs w:val="18"/>
              </w:rPr>
            </w:pPr>
            <w:r>
              <w:rPr>
                <w:rFonts w:ascii="Arial" w:hAnsi="Arial" w:cs="Arial"/>
                <w:sz w:val="18"/>
                <w:szCs w:val="18"/>
              </w:rPr>
              <w:t>10 000 Zagreb</w:t>
            </w:r>
          </w:p>
        </w:tc>
        <w:tc>
          <w:tcPr>
            <w:tcW w:w="429"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2 godine od zaključenja ugovora</w:t>
            </w:r>
          </w:p>
        </w:tc>
        <w:tc>
          <w:tcPr>
            <w:tcW w:w="429" w:type="pct"/>
            <w:vAlign w:val="center"/>
          </w:tcPr>
          <w:p w:rsidR="005B3E46" w:rsidRPr="006D78C8" w:rsidRDefault="002E75E5" w:rsidP="00EA05F2">
            <w:pPr>
              <w:jc w:val="center"/>
              <w:rPr>
                <w:rFonts w:ascii="Arial" w:hAnsi="Arial" w:cs="Arial"/>
                <w:sz w:val="18"/>
                <w:szCs w:val="18"/>
              </w:rPr>
            </w:pPr>
            <w:r>
              <w:rPr>
                <w:rFonts w:ascii="Arial" w:hAnsi="Arial" w:cs="Arial"/>
                <w:sz w:val="18"/>
                <w:szCs w:val="18"/>
              </w:rPr>
              <w:t>Isplata mjesečno prema obračunatoj potrošnji</w:t>
            </w:r>
          </w:p>
        </w:tc>
        <w:tc>
          <w:tcPr>
            <w:tcW w:w="428" w:type="pct"/>
            <w:vAlign w:val="center"/>
          </w:tcPr>
          <w:p w:rsidR="005B3E46" w:rsidRDefault="005B3E46" w:rsidP="00EA05F2">
            <w:pPr>
              <w:jc w:val="center"/>
              <w:rPr>
                <w:rFonts w:ascii="Arial" w:hAnsi="Arial" w:cs="Arial"/>
                <w:sz w:val="18"/>
                <w:szCs w:val="18"/>
              </w:rPr>
            </w:pPr>
          </w:p>
          <w:p w:rsidR="00F43D68" w:rsidRDefault="00F43D68" w:rsidP="00EA05F2">
            <w:pPr>
              <w:jc w:val="center"/>
              <w:rPr>
                <w:rFonts w:ascii="Arial" w:hAnsi="Arial" w:cs="Arial"/>
                <w:sz w:val="18"/>
                <w:szCs w:val="18"/>
              </w:rPr>
            </w:pPr>
          </w:p>
          <w:p w:rsidR="00F43D68" w:rsidRDefault="00F43D68" w:rsidP="00EA05F2">
            <w:pPr>
              <w:jc w:val="center"/>
              <w:rPr>
                <w:rFonts w:ascii="Arial" w:hAnsi="Arial" w:cs="Arial"/>
                <w:sz w:val="18"/>
                <w:szCs w:val="18"/>
              </w:rPr>
            </w:pPr>
          </w:p>
          <w:p w:rsidR="00F43D68" w:rsidRPr="006D78C8" w:rsidRDefault="00F43D68" w:rsidP="00EA05F2">
            <w:pPr>
              <w:jc w:val="center"/>
              <w:rPr>
                <w:rFonts w:ascii="Arial" w:hAnsi="Arial" w:cs="Arial"/>
                <w:sz w:val="18"/>
                <w:szCs w:val="18"/>
              </w:rPr>
            </w:pPr>
          </w:p>
        </w:tc>
      </w:tr>
      <w:tr w:rsidR="002E75E5" w:rsidRPr="006D78C8" w:rsidTr="002E75E5">
        <w:trPr>
          <w:trHeight w:val="1114"/>
        </w:trPr>
        <w:tc>
          <w:tcPr>
            <w:tcW w:w="220" w:type="pct"/>
            <w:vAlign w:val="center"/>
          </w:tcPr>
          <w:p w:rsidR="002E75E5" w:rsidRPr="004D717A" w:rsidRDefault="002E75E5" w:rsidP="00EA05F2">
            <w:pPr>
              <w:jc w:val="center"/>
              <w:rPr>
                <w:rFonts w:ascii="Arial" w:hAnsi="Arial" w:cs="Arial"/>
                <w:i/>
                <w:sz w:val="18"/>
                <w:szCs w:val="18"/>
              </w:rPr>
            </w:pPr>
            <w:r>
              <w:rPr>
                <w:rFonts w:ascii="Arial" w:hAnsi="Arial" w:cs="Arial"/>
                <w:i/>
                <w:sz w:val="18"/>
                <w:szCs w:val="18"/>
              </w:rPr>
              <w:t>4</w:t>
            </w:r>
          </w:p>
        </w:tc>
        <w:tc>
          <w:tcPr>
            <w:tcW w:w="665" w:type="pct"/>
            <w:vAlign w:val="center"/>
          </w:tcPr>
          <w:p w:rsidR="002E75E5" w:rsidRDefault="002E75E5" w:rsidP="00EA05F2">
            <w:pPr>
              <w:jc w:val="center"/>
              <w:rPr>
                <w:rFonts w:ascii="Arial" w:hAnsi="Arial" w:cs="Arial"/>
                <w:sz w:val="18"/>
                <w:szCs w:val="18"/>
              </w:rPr>
            </w:pPr>
            <w:r>
              <w:rPr>
                <w:rFonts w:ascii="Arial" w:hAnsi="Arial" w:cs="Arial"/>
                <w:sz w:val="18"/>
                <w:szCs w:val="18"/>
              </w:rPr>
              <w:t>Nabava računalne opreme</w:t>
            </w:r>
          </w:p>
        </w:tc>
        <w:tc>
          <w:tcPr>
            <w:tcW w:w="668" w:type="pct"/>
            <w:vAlign w:val="center"/>
          </w:tcPr>
          <w:p w:rsidR="002E75E5" w:rsidRDefault="002E75E5" w:rsidP="00EA05F2">
            <w:pPr>
              <w:jc w:val="center"/>
              <w:rPr>
                <w:rFonts w:ascii="Arial" w:hAnsi="Arial" w:cs="Arial"/>
                <w:sz w:val="18"/>
                <w:szCs w:val="18"/>
              </w:rPr>
            </w:pPr>
            <w:r>
              <w:rPr>
                <w:rFonts w:ascii="Arial" w:hAnsi="Arial" w:cs="Arial"/>
                <w:sz w:val="18"/>
                <w:szCs w:val="18"/>
              </w:rPr>
              <w:t>3/2018.</w:t>
            </w:r>
          </w:p>
        </w:tc>
        <w:tc>
          <w:tcPr>
            <w:tcW w:w="428" w:type="pct"/>
            <w:vAlign w:val="center"/>
          </w:tcPr>
          <w:p w:rsidR="002E75E5" w:rsidRDefault="002E75E5" w:rsidP="00EA05F2">
            <w:pPr>
              <w:jc w:val="center"/>
              <w:rPr>
                <w:rFonts w:ascii="Arial" w:hAnsi="Arial" w:cs="Arial"/>
                <w:sz w:val="18"/>
                <w:szCs w:val="18"/>
              </w:rPr>
            </w:pPr>
            <w:r>
              <w:rPr>
                <w:rFonts w:ascii="Arial" w:hAnsi="Arial" w:cs="Arial"/>
                <w:sz w:val="18"/>
                <w:szCs w:val="18"/>
              </w:rPr>
              <w:t>Postupak jednostavne nabave</w:t>
            </w:r>
          </w:p>
        </w:tc>
        <w:tc>
          <w:tcPr>
            <w:tcW w:w="428" w:type="pct"/>
            <w:vAlign w:val="center"/>
          </w:tcPr>
          <w:p w:rsidR="002E75E5" w:rsidRDefault="002E75E5" w:rsidP="00EA05F2">
            <w:pPr>
              <w:jc w:val="center"/>
              <w:rPr>
                <w:rFonts w:ascii="Arial" w:hAnsi="Arial" w:cs="Arial"/>
                <w:sz w:val="18"/>
                <w:szCs w:val="18"/>
              </w:rPr>
            </w:pPr>
            <w:r>
              <w:rPr>
                <w:rFonts w:ascii="Arial" w:hAnsi="Arial" w:cs="Arial"/>
                <w:sz w:val="18"/>
                <w:szCs w:val="18"/>
              </w:rPr>
              <w:t>35.625,00</w:t>
            </w:r>
          </w:p>
        </w:tc>
        <w:tc>
          <w:tcPr>
            <w:tcW w:w="428" w:type="pct"/>
            <w:vAlign w:val="center"/>
          </w:tcPr>
          <w:p w:rsidR="002E75E5" w:rsidRDefault="002E75E5" w:rsidP="00EA05F2">
            <w:pPr>
              <w:jc w:val="center"/>
              <w:rPr>
                <w:rFonts w:ascii="Arial" w:hAnsi="Arial" w:cs="Arial"/>
                <w:sz w:val="18"/>
                <w:szCs w:val="18"/>
              </w:rPr>
            </w:pPr>
            <w:r>
              <w:rPr>
                <w:rFonts w:ascii="Arial" w:hAnsi="Arial" w:cs="Arial"/>
                <w:sz w:val="18"/>
                <w:szCs w:val="18"/>
              </w:rPr>
              <w:t>03.01.2019.</w:t>
            </w:r>
          </w:p>
        </w:tc>
        <w:tc>
          <w:tcPr>
            <w:tcW w:w="428" w:type="pct"/>
            <w:vAlign w:val="center"/>
          </w:tcPr>
          <w:p w:rsidR="002E75E5" w:rsidRDefault="002E75E5" w:rsidP="00B11EC5">
            <w:pPr>
              <w:jc w:val="center"/>
              <w:rPr>
                <w:rFonts w:ascii="Arial" w:hAnsi="Arial" w:cs="Arial"/>
                <w:sz w:val="18"/>
                <w:szCs w:val="18"/>
              </w:rPr>
            </w:pPr>
          </w:p>
        </w:tc>
        <w:tc>
          <w:tcPr>
            <w:tcW w:w="447" w:type="pct"/>
            <w:vAlign w:val="center"/>
          </w:tcPr>
          <w:p w:rsidR="002E75E5" w:rsidRDefault="002E75E5" w:rsidP="002E75E5">
            <w:pPr>
              <w:jc w:val="center"/>
              <w:rPr>
                <w:rFonts w:ascii="Arial" w:hAnsi="Arial" w:cs="Arial"/>
                <w:sz w:val="18"/>
                <w:szCs w:val="18"/>
              </w:rPr>
            </w:pPr>
            <w:proofErr w:type="spellStart"/>
            <w:r>
              <w:rPr>
                <w:rFonts w:ascii="Arial" w:hAnsi="Arial" w:cs="Arial"/>
                <w:sz w:val="18"/>
                <w:szCs w:val="18"/>
              </w:rPr>
              <w:t>Toto</w:t>
            </w:r>
            <w:proofErr w:type="spellEnd"/>
            <w:r>
              <w:rPr>
                <w:rFonts w:ascii="Arial" w:hAnsi="Arial" w:cs="Arial"/>
                <w:sz w:val="18"/>
                <w:szCs w:val="18"/>
              </w:rPr>
              <w:t xml:space="preserve"> računala d.o.o.</w:t>
            </w:r>
          </w:p>
          <w:p w:rsidR="002E75E5" w:rsidRDefault="002E75E5" w:rsidP="002E75E5">
            <w:pPr>
              <w:jc w:val="center"/>
              <w:rPr>
                <w:rFonts w:ascii="Arial" w:hAnsi="Arial" w:cs="Arial"/>
                <w:sz w:val="18"/>
                <w:szCs w:val="18"/>
              </w:rPr>
            </w:pPr>
            <w:proofErr w:type="spellStart"/>
            <w:r>
              <w:rPr>
                <w:rFonts w:ascii="Arial" w:hAnsi="Arial" w:cs="Arial"/>
                <w:sz w:val="18"/>
                <w:szCs w:val="18"/>
              </w:rPr>
              <w:t>Tripalov</w:t>
            </w:r>
            <w:proofErr w:type="spellEnd"/>
            <w:r>
              <w:rPr>
                <w:rFonts w:ascii="Arial" w:hAnsi="Arial" w:cs="Arial"/>
                <w:sz w:val="18"/>
                <w:szCs w:val="18"/>
              </w:rPr>
              <w:t xml:space="preserve"> voćnjak 2</w:t>
            </w:r>
          </w:p>
          <w:p w:rsidR="002E75E5" w:rsidRDefault="002E75E5" w:rsidP="002E75E5">
            <w:pPr>
              <w:jc w:val="center"/>
              <w:rPr>
                <w:rFonts w:ascii="Arial" w:hAnsi="Arial" w:cs="Arial"/>
                <w:sz w:val="18"/>
                <w:szCs w:val="18"/>
              </w:rPr>
            </w:pPr>
            <w:r>
              <w:rPr>
                <w:rFonts w:ascii="Arial" w:hAnsi="Arial" w:cs="Arial"/>
                <w:sz w:val="18"/>
                <w:szCs w:val="18"/>
              </w:rPr>
              <w:t>21 230 Sinj</w:t>
            </w:r>
          </w:p>
        </w:tc>
        <w:tc>
          <w:tcPr>
            <w:tcW w:w="429" w:type="pct"/>
            <w:vAlign w:val="center"/>
          </w:tcPr>
          <w:p w:rsidR="002E75E5" w:rsidRDefault="002E75E5" w:rsidP="00EA05F2">
            <w:pPr>
              <w:jc w:val="center"/>
              <w:rPr>
                <w:rFonts w:ascii="Arial" w:hAnsi="Arial" w:cs="Arial"/>
                <w:sz w:val="18"/>
                <w:szCs w:val="18"/>
              </w:rPr>
            </w:pPr>
            <w:r>
              <w:rPr>
                <w:rFonts w:ascii="Arial" w:hAnsi="Arial" w:cs="Arial"/>
                <w:sz w:val="18"/>
                <w:szCs w:val="18"/>
              </w:rPr>
              <w:t>30 kalendarskih dana od dana zaključenja Ugovora</w:t>
            </w:r>
          </w:p>
        </w:tc>
        <w:tc>
          <w:tcPr>
            <w:tcW w:w="429" w:type="pct"/>
            <w:vAlign w:val="center"/>
          </w:tcPr>
          <w:p w:rsidR="002E75E5" w:rsidRDefault="002E75E5" w:rsidP="00EA05F2">
            <w:pPr>
              <w:jc w:val="center"/>
              <w:rPr>
                <w:rFonts w:ascii="Arial" w:hAnsi="Arial" w:cs="Arial"/>
                <w:sz w:val="18"/>
                <w:szCs w:val="18"/>
              </w:rPr>
            </w:pPr>
            <w:r>
              <w:rPr>
                <w:rFonts w:ascii="Arial" w:hAnsi="Arial" w:cs="Arial"/>
                <w:sz w:val="18"/>
                <w:szCs w:val="18"/>
              </w:rPr>
              <w:t>28.500,00 kn bez PDV-a</w:t>
            </w:r>
          </w:p>
        </w:tc>
        <w:tc>
          <w:tcPr>
            <w:tcW w:w="428" w:type="pct"/>
            <w:vAlign w:val="center"/>
          </w:tcPr>
          <w:p w:rsidR="002E75E5" w:rsidRDefault="002E75E5" w:rsidP="00EA05F2">
            <w:pPr>
              <w:jc w:val="center"/>
              <w:rPr>
                <w:rFonts w:ascii="Arial" w:hAnsi="Arial" w:cs="Arial"/>
                <w:sz w:val="18"/>
                <w:szCs w:val="18"/>
              </w:rPr>
            </w:pPr>
          </w:p>
        </w:tc>
      </w:tr>
      <w:tr w:rsidR="001D2F85" w:rsidRPr="006D78C8" w:rsidTr="000D3676">
        <w:trPr>
          <w:trHeight w:val="260"/>
        </w:trPr>
        <w:tc>
          <w:tcPr>
            <w:tcW w:w="220" w:type="pct"/>
            <w:vAlign w:val="center"/>
          </w:tcPr>
          <w:p w:rsidR="00F43D68" w:rsidRPr="004D717A" w:rsidRDefault="00F43D68" w:rsidP="002E75E5">
            <w:pPr>
              <w:rPr>
                <w:rFonts w:ascii="Arial" w:hAnsi="Arial" w:cs="Arial"/>
                <w:i/>
                <w:sz w:val="18"/>
                <w:szCs w:val="18"/>
              </w:rPr>
            </w:pPr>
          </w:p>
        </w:tc>
        <w:tc>
          <w:tcPr>
            <w:tcW w:w="665" w:type="pct"/>
            <w:vAlign w:val="center"/>
          </w:tcPr>
          <w:p w:rsidR="00F43D68" w:rsidRDefault="00F43D68" w:rsidP="00EA05F2">
            <w:pPr>
              <w:jc w:val="center"/>
              <w:rPr>
                <w:rFonts w:ascii="Arial" w:hAnsi="Arial" w:cs="Arial"/>
                <w:sz w:val="18"/>
                <w:szCs w:val="18"/>
              </w:rPr>
            </w:pPr>
          </w:p>
        </w:tc>
        <w:tc>
          <w:tcPr>
            <w:tcW w:w="668" w:type="pct"/>
            <w:vAlign w:val="center"/>
          </w:tcPr>
          <w:p w:rsidR="00F43D68" w:rsidRDefault="00F43D68" w:rsidP="00EA05F2">
            <w:pPr>
              <w:jc w:val="center"/>
              <w:rPr>
                <w:rFonts w:ascii="Arial" w:hAnsi="Arial" w:cs="Arial"/>
                <w:sz w:val="18"/>
                <w:szCs w:val="18"/>
              </w:rPr>
            </w:pPr>
          </w:p>
        </w:tc>
        <w:tc>
          <w:tcPr>
            <w:tcW w:w="428" w:type="pct"/>
            <w:vAlign w:val="center"/>
          </w:tcPr>
          <w:p w:rsidR="00F43D68" w:rsidRDefault="00F43D68" w:rsidP="00EA05F2">
            <w:pPr>
              <w:jc w:val="center"/>
              <w:rPr>
                <w:rFonts w:ascii="Arial" w:hAnsi="Arial" w:cs="Arial"/>
                <w:sz w:val="18"/>
                <w:szCs w:val="18"/>
              </w:rPr>
            </w:pPr>
          </w:p>
        </w:tc>
        <w:tc>
          <w:tcPr>
            <w:tcW w:w="428" w:type="pct"/>
            <w:vAlign w:val="center"/>
          </w:tcPr>
          <w:p w:rsidR="00F43D68" w:rsidRDefault="00F43D68" w:rsidP="00EA05F2">
            <w:pPr>
              <w:jc w:val="center"/>
              <w:rPr>
                <w:rFonts w:ascii="Arial" w:hAnsi="Arial" w:cs="Arial"/>
                <w:sz w:val="18"/>
                <w:szCs w:val="18"/>
              </w:rPr>
            </w:pPr>
          </w:p>
        </w:tc>
        <w:tc>
          <w:tcPr>
            <w:tcW w:w="428" w:type="pct"/>
            <w:vAlign w:val="center"/>
          </w:tcPr>
          <w:p w:rsidR="00F43D68" w:rsidRDefault="00F43D68" w:rsidP="00EA05F2">
            <w:pPr>
              <w:jc w:val="center"/>
              <w:rPr>
                <w:rFonts w:ascii="Arial" w:hAnsi="Arial" w:cs="Arial"/>
                <w:sz w:val="18"/>
                <w:szCs w:val="18"/>
              </w:rPr>
            </w:pPr>
          </w:p>
        </w:tc>
        <w:tc>
          <w:tcPr>
            <w:tcW w:w="428" w:type="pct"/>
            <w:vAlign w:val="center"/>
          </w:tcPr>
          <w:p w:rsidR="00F43D68" w:rsidRDefault="00F43D68" w:rsidP="00F74B41">
            <w:pPr>
              <w:rPr>
                <w:rFonts w:ascii="Arial" w:hAnsi="Arial" w:cs="Arial"/>
                <w:sz w:val="18"/>
                <w:szCs w:val="18"/>
              </w:rPr>
            </w:pPr>
          </w:p>
        </w:tc>
        <w:tc>
          <w:tcPr>
            <w:tcW w:w="447" w:type="pct"/>
            <w:vAlign w:val="center"/>
          </w:tcPr>
          <w:p w:rsidR="001D2F85" w:rsidRDefault="001D2F85" w:rsidP="00EA05F2">
            <w:pPr>
              <w:jc w:val="center"/>
              <w:rPr>
                <w:rFonts w:ascii="Arial" w:hAnsi="Arial" w:cs="Arial"/>
                <w:sz w:val="18"/>
                <w:szCs w:val="18"/>
              </w:rPr>
            </w:pPr>
          </w:p>
        </w:tc>
        <w:tc>
          <w:tcPr>
            <w:tcW w:w="429" w:type="pct"/>
            <w:vAlign w:val="center"/>
          </w:tcPr>
          <w:p w:rsidR="00F43D68" w:rsidRDefault="00F43D68" w:rsidP="00EA05F2">
            <w:pPr>
              <w:jc w:val="center"/>
              <w:rPr>
                <w:rFonts w:ascii="Arial" w:hAnsi="Arial" w:cs="Arial"/>
                <w:sz w:val="18"/>
                <w:szCs w:val="18"/>
              </w:rPr>
            </w:pPr>
          </w:p>
        </w:tc>
        <w:tc>
          <w:tcPr>
            <w:tcW w:w="429" w:type="pct"/>
            <w:vAlign w:val="center"/>
          </w:tcPr>
          <w:p w:rsidR="00F43D68" w:rsidRPr="006D78C8" w:rsidRDefault="00F43D68" w:rsidP="00EA05F2">
            <w:pPr>
              <w:jc w:val="center"/>
              <w:rPr>
                <w:rFonts w:ascii="Arial" w:hAnsi="Arial" w:cs="Arial"/>
                <w:sz w:val="18"/>
                <w:szCs w:val="18"/>
              </w:rPr>
            </w:pPr>
          </w:p>
        </w:tc>
        <w:tc>
          <w:tcPr>
            <w:tcW w:w="428" w:type="pct"/>
            <w:vAlign w:val="center"/>
          </w:tcPr>
          <w:p w:rsidR="00F43D68" w:rsidRDefault="00F43D68" w:rsidP="00EA05F2">
            <w:pPr>
              <w:jc w:val="center"/>
              <w:rPr>
                <w:rFonts w:ascii="Arial" w:hAnsi="Arial" w:cs="Arial"/>
                <w:sz w:val="18"/>
                <w:szCs w:val="18"/>
              </w:rPr>
            </w:pPr>
          </w:p>
        </w:tc>
      </w:tr>
      <w:tr w:rsidR="000617AE" w:rsidRPr="006D78C8" w:rsidTr="000D3676">
        <w:trPr>
          <w:trHeight w:val="260"/>
        </w:trPr>
        <w:tc>
          <w:tcPr>
            <w:tcW w:w="220" w:type="pct"/>
            <w:vAlign w:val="center"/>
          </w:tcPr>
          <w:p w:rsidR="000617AE" w:rsidRDefault="000617AE" w:rsidP="002E75E5">
            <w:pPr>
              <w:rPr>
                <w:rFonts w:ascii="Arial" w:hAnsi="Arial" w:cs="Arial"/>
                <w:i/>
                <w:sz w:val="18"/>
                <w:szCs w:val="18"/>
              </w:rPr>
            </w:pPr>
          </w:p>
        </w:tc>
        <w:tc>
          <w:tcPr>
            <w:tcW w:w="665" w:type="pct"/>
            <w:vAlign w:val="center"/>
          </w:tcPr>
          <w:p w:rsidR="000617AE" w:rsidRDefault="000617AE" w:rsidP="00EA05F2">
            <w:pPr>
              <w:jc w:val="center"/>
              <w:rPr>
                <w:rFonts w:ascii="Arial" w:hAnsi="Arial" w:cs="Arial"/>
                <w:sz w:val="18"/>
                <w:szCs w:val="18"/>
              </w:rPr>
            </w:pPr>
          </w:p>
        </w:tc>
        <w:tc>
          <w:tcPr>
            <w:tcW w:w="668" w:type="pct"/>
            <w:vAlign w:val="center"/>
          </w:tcPr>
          <w:p w:rsidR="000617AE" w:rsidRDefault="000617AE" w:rsidP="003F4101">
            <w:pPr>
              <w:rPr>
                <w:rFonts w:ascii="Arial" w:hAnsi="Arial" w:cs="Arial"/>
                <w:sz w:val="18"/>
                <w:szCs w:val="18"/>
              </w:rPr>
            </w:pPr>
          </w:p>
        </w:tc>
        <w:tc>
          <w:tcPr>
            <w:tcW w:w="428" w:type="pct"/>
            <w:vAlign w:val="center"/>
          </w:tcPr>
          <w:p w:rsidR="000617AE" w:rsidRDefault="000617AE" w:rsidP="00EA05F2">
            <w:pPr>
              <w:jc w:val="center"/>
              <w:rPr>
                <w:rFonts w:ascii="Arial" w:hAnsi="Arial" w:cs="Arial"/>
                <w:sz w:val="18"/>
                <w:szCs w:val="18"/>
              </w:rPr>
            </w:pPr>
          </w:p>
        </w:tc>
        <w:tc>
          <w:tcPr>
            <w:tcW w:w="428" w:type="pct"/>
            <w:vAlign w:val="center"/>
          </w:tcPr>
          <w:p w:rsidR="000617AE" w:rsidRDefault="000617AE" w:rsidP="00EA05F2">
            <w:pPr>
              <w:jc w:val="center"/>
              <w:rPr>
                <w:rFonts w:ascii="Arial" w:hAnsi="Arial" w:cs="Arial"/>
                <w:sz w:val="18"/>
                <w:szCs w:val="18"/>
              </w:rPr>
            </w:pPr>
          </w:p>
        </w:tc>
        <w:tc>
          <w:tcPr>
            <w:tcW w:w="428" w:type="pct"/>
            <w:vAlign w:val="center"/>
          </w:tcPr>
          <w:p w:rsidR="000617AE" w:rsidRDefault="000617AE" w:rsidP="00EA05F2">
            <w:pPr>
              <w:jc w:val="center"/>
              <w:rPr>
                <w:rFonts w:ascii="Arial" w:hAnsi="Arial" w:cs="Arial"/>
                <w:sz w:val="18"/>
                <w:szCs w:val="18"/>
              </w:rPr>
            </w:pPr>
          </w:p>
        </w:tc>
        <w:tc>
          <w:tcPr>
            <w:tcW w:w="428" w:type="pct"/>
            <w:vAlign w:val="center"/>
          </w:tcPr>
          <w:p w:rsidR="000617AE" w:rsidRDefault="000617AE" w:rsidP="00B11EC5">
            <w:pPr>
              <w:jc w:val="center"/>
              <w:rPr>
                <w:rFonts w:ascii="Arial" w:hAnsi="Arial" w:cs="Arial"/>
                <w:sz w:val="18"/>
                <w:szCs w:val="18"/>
              </w:rPr>
            </w:pPr>
          </w:p>
        </w:tc>
        <w:tc>
          <w:tcPr>
            <w:tcW w:w="447" w:type="pct"/>
            <w:vAlign w:val="center"/>
          </w:tcPr>
          <w:p w:rsidR="0069084F" w:rsidRDefault="0069084F" w:rsidP="00EA05F2">
            <w:pPr>
              <w:jc w:val="center"/>
              <w:rPr>
                <w:rFonts w:ascii="Arial" w:hAnsi="Arial" w:cs="Arial"/>
                <w:sz w:val="18"/>
                <w:szCs w:val="18"/>
              </w:rPr>
            </w:pPr>
          </w:p>
        </w:tc>
        <w:tc>
          <w:tcPr>
            <w:tcW w:w="429" w:type="pct"/>
            <w:vAlign w:val="center"/>
          </w:tcPr>
          <w:p w:rsidR="000617AE" w:rsidRDefault="000617AE" w:rsidP="00EA05F2">
            <w:pPr>
              <w:jc w:val="center"/>
              <w:rPr>
                <w:rFonts w:ascii="Arial" w:hAnsi="Arial" w:cs="Arial"/>
                <w:sz w:val="18"/>
                <w:szCs w:val="18"/>
              </w:rPr>
            </w:pPr>
          </w:p>
        </w:tc>
        <w:tc>
          <w:tcPr>
            <w:tcW w:w="429" w:type="pct"/>
            <w:vAlign w:val="center"/>
          </w:tcPr>
          <w:p w:rsidR="000617AE" w:rsidRPr="006D78C8" w:rsidRDefault="000617AE" w:rsidP="00EA05F2">
            <w:pPr>
              <w:jc w:val="center"/>
              <w:rPr>
                <w:rFonts w:ascii="Arial" w:hAnsi="Arial" w:cs="Arial"/>
                <w:sz w:val="18"/>
                <w:szCs w:val="18"/>
              </w:rPr>
            </w:pPr>
          </w:p>
        </w:tc>
        <w:tc>
          <w:tcPr>
            <w:tcW w:w="428" w:type="pct"/>
            <w:vAlign w:val="center"/>
          </w:tcPr>
          <w:p w:rsidR="000617AE" w:rsidRDefault="000617AE" w:rsidP="00EA05F2">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6D78C8" w:rsidP="00EA05F2">
            <w:pPr>
              <w:jc w:val="center"/>
              <w:rPr>
                <w:rFonts w:ascii="Arial Bold" w:hAnsi="Arial Bold" w:cs="Arial"/>
                <w:b/>
                <w:caps/>
                <w:sz w:val="24"/>
                <w:szCs w:val="24"/>
              </w:rPr>
            </w:pPr>
            <w:r>
              <w:rPr>
                <w:rFonts w:ascii="Arial" w:hAnsi="Arial" w:cs="Arial"/>
                <w:sz w:val="18"/>
                <w:szCs w:val="18"/>
              </w:rPr>
              <w:br w:type="page"/>
            </w:r>
            <w:r w:rsidR="00EA05F2">
              <w:rPr>
                <w:rFonts w:ascii="Arial Bold" w:hAnsi="Arial Bold" w:cs="Arial"/>
                <w:b/>
                <w:bCs/>
                <w:caps/>
                <w:sz w:val="24"/>
                <w:szCs w:val="24"/>
              </w:rPr>
              <w:t xml:space="preserve">2. </w:t>
            </w:r>
            <w:r w:rsidR="00EA05F2" w:rsidRPr="006D78C8">
              <w:rPr>
                <w:rFonts w:ascii="Arial Bold" w:hAnsi="Arial Bold" w:cs="Arial"/>
                <w:b/>
                <w:bCs/>
                <w:caps/>
                <w:sz w:val="24"/>
                <w:szCs w:val="24"/>
              </w:rPr>
              <w:t>Registar okvirnih sporazuma</w:t>
            </w:r>
            <w:r w:rsidR="00EA05F2">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20711B">
        <w:rPr>
          <w:rFonts w:ascii="Arial" w:hAnsi="Arial" w:cs="Arial"/>
          <w:sz w:val="18"/>
          <w:szCs w:val="18"/>
        </w:rPr>
        <w:t>13. rujna 2019.g.</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20711B" w:rsidRDefault="0020711B" w:rsidP="0020711B">
      <w:pPr>
        <w:spacing w:after="0" w:line="240" w:lineRule="auto"/>
        <w:ind w:left="10620" w:firstLine="708"/>
        <w:rPr>
          <w:rFonts w:ascii="Arial" w:hAnsi="Arial" w:cs="Arial"/>
          <w:sz w:val="18"/>
          <w:szCs w:val="18"/>
        </w:rPr>
      </w:pPr>
      <w:bookmarkStart w:id="0" w:name="_GoBack"/>
      <w:bookmarkEnd w:id="0"/>
      <w:r>
        <w:rPr>
          <w:rFonts w:ascii="Arial" w:hAnsi="Arial" w:cs="Arial"/>
          <w:sz w:val="18"/>
          <w:szCs w:val="18"/>
        </w:rPr>
        <w:t xml:space="preserve">v.d. ravnatelja Marko Križanac </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617AE"/>
    <w:rsid w:val="000D3676"/>
    <w:rsid w:val="001255D8"/>
    <w:rsid w:val="001B1A0E"/>
    <w:rsid w:val="001D2F85"/>
    <w:rsid w:val="002054DA"/>
    <w:rsid w:val="0020711B"/>
    <w:rsid w:val="00212E64"/>
    <w:rsid w:val="0023254D"/>
    <w:rsid w:val="00252115"/>
    <w:rsid w:val="002E75E5"/>
    <w:rsid w:val="002F44A5"/>
    <w:rsid w:val="00391FDB"/>
    <w:rsid w:val="003F4101"/>
    <w:rsid w:val="004B75E0"/>
    <w:rsid w:val="004D717A"/>
    <w:rsid w:val="004F5613"/>
    <w:rsid w:val="00503291"/>
    <w:rsid w:val="00513A19"/>
    <w:rsid w:val="00596C16"/>
    <w:rsid w:val="005B3E46"/>
    <w:rsid w:val="00644330"/>
    <w:rsid w:val="006561D2"/>
    <w:rsid w:val="0069084F"/>
    <w:rsid w:val="006D78C8"/>
    <w:rsid w:val="007068B2"/>
    <w:rsid w:val="00741999"/>
    <w:rsid w:val="00743605"/>
    <w:rsid w:val="007A1F91"/>
    <w:rsid w:val="007C3766"/>
    <w:rsid w:val="00827F92"/>
    <w:rsid w:val="009131ED"/>
    <w:rsid w:val="0092266B"/>
    <w:rsid w:val="009648BE"/>
    <w:rsid w:val="009C16AF"/>
    <w:rsid w:val="009F7C54"/>
    <w:rsid w:val="00A15021"/>
    <w:rsid w:val="00A7237E"/>
    <w:rsid w:val="00AA6305"/>
    <w:rsid w:val="00B11EC5"/>
    <w:rsid w:val="00B46C63"/>
    <w:rsid w:val="00BA549D"/>
    <w:rsid w:val="00BA54BC"/>
    <w:rsid w:val="00BB1D47"/>
    <w:rsid w:val="00C31A63"/>
    <w:rsid w:val="00C73AE6"/>
    <w:rsid w:val="00CB3BB6"/>
    <w:rsid w:val="00E14FA1"/>
    <w:rsid w:val="00E82A70"/>
    <w:rsid w:val="00EA05F2"/>
    <w:rsid w:val="00F24CC5"/>
    <w:rsid w:val="00F43D68"/>
    <w:rsid w:val="00F5387C"/>
    <w:rsid w:val="00F74B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B5E4-F896-42BF-BEF9-E754312A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Ravnatelj</cp:lastModifiedBy>
  <cp:revision>2</cp:revision>
  <cp:lastPrinted>2019-01-23T10:33:00Z</cp:lastPrinted>
  <dcterms:created xsi:type="dcterms:W3CDTF">2019-09-13T09:00:00Z</dcterms:created>
  <dcterms:modified xsi:type="dcterms:W3CDTF">2019-09-13T09:00:00Z</dcterms:modified>
</cp:coreProperties>
</file>